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Кардиология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Кардиология | Записей: 1 | Кейс: 2 | Вопросов: 12</w:t>
      </w:r>
    </w:p>
    <w:p>
      <w:r>
        <w:br w:type="page"/>
      </w:r>
    </w:p>
    <w:p>
      <w:pPr>
        <w:pStyle w:val="Heading1"/>
      </w:pPr>
      <w:r>
        <w:t>Кардиология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Кардиология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Больной П. 76 лет поступил в кардиологическое отделение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•</w:t>
        <w:tab/>
        <w:t>На боли сжимающего характера за грудиной, возникающие при ходьбе по ровному месту на расстояние 100 метров и подъеме на один лестничный пролет, купирующиеся нитроглицерином в течение 2-3 минут,</w:t>
        <w:br/>
        <w:t>•</w:t>
        <w:tab/>
        <w:t>эпизоды одышки, возникающие при тех же условиях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Из анамнеза известно, что более 20 лет отмечает подъемы артериального давления до 170/100 мм рт. ст., эпизодически принимал капотен, АД не контролировал.</w:t>
        <w:br/>
        <w:t>Боли за грудиной беспокоят в течение 6 лет, не обследовался, лечение назначено не было. Однако больной самостоятельно начал прием нитроглицерина с эффектом. Около 3 лет при измерении АД обратил внимание на неритмичность пульса, но значения этому не придал, посчитав «возрастными изменениями», с этого же времени отметил снижение толерантности к физическим нагрузкам. В настоящее время боли за грудиной сжимающего характера возникают при ходьбе по ровному месту на расстояние 100 метров и подъеме на один лестничный пролет, купируются нитроглицерином в течение 2-3 минут. Ежедневная потребность в нитратах 5-6 таблеток.</w:t>
        <w:br/>
        <w:t>Одышка при физической нагрузке появилась в течение года.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</w:t>
        <w:tab/>
        <w:t>Рос и развивался нормально</w:t>
        <w:br/>
        <w:t>*</w:t>
        <w:tab/>
        <w:t>Перенесенные заболевания и операции: детские инфекции</w:t>
        <w:br/>
        <w:t>*</w:t>
        <w:tab/>
        <w:t>Наследственность: отец больного умер от инфаркта в возрасте 58 лет</w:t>
        <w:br/>
        <w:t>*</w:t>
        <w:tab/>
        <w:t>Курит с 16 лет по пачке папирос в день.</w:t>
        <w:br/>
        <w:t>*</w:t>
        <w:tab/>
        <w:t>Алкоголем не злоупотребляет.</w:t>
        <w:br/>
        <w:t>*</w:t>
        <w:tab/>
        <w:t>Работал инженером на заводе, в настоящее время на пенсии.</w:t>
        <w:br/>
        <w:t>*</w:t>
        <w:tab/>
        <w:t>Сопутствующие заболевания: доброкачественная гиперплазия предстательной железы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При осмотре состояние средней тяжести. Рост 185 см, вес 72 кг. Кожные покровы обычной окраски. Т тела 36,70С. Лимфатические узлы не увеличены. Акроцианоз губ. На коже век – ксантелазмы. Липоидная дуга роговицы. Грудная клетка бочкообразной формы, симметричная. ЧДД 18 в минуту. При сравнительной перкуссии в симметричных участках грудной клетки определяется коробочный звук. При аускультации над легкими выслушивается жесткое дыхание, рассеянные сухие жужжащие хрипы, а в нижних отделах – единичные незвонкие влажные мелкопузырчатые хрипы. Границы относительной тупости сердца: правая - правый край грудины, левая - в V межреберье на 2 см латеральнее левой среднеключичной линии, верхняя - верхний край III ребра. При аускультации сердца тоны ослаблены, аритмичные. ЧСС - 140 ударов в минуту. АД - 130/80 мм рт. ст. Пульс 100 ударов в минуту. Дефицит пульса – около 40 в мин. Живот мягкий, безболезненный. Размеры печени: 9x8x7 см. Печень пальпируется у края реберной дуги.  Область почек не изменена. Почки не пальпируются. Симптом поколачивания отрицательный с обеих сторон. Периферических отеков нет. Стул в норме.Отмечает трудности при мочеиспускании.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К необходимым для постановки диагноза лабораторным методам обследования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определение ренин-альдостеронового соотношения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биохимический анализ крови с определением липидного профиля, АЛТ, АСТ, глюкозы, мочевины, креатинина, калия, натрия, маркеров некроза миокарда (тропонины I и/или Т, КФК и ее МВ-фракция)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определение титра противострептококковых антител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определение уровня С-реактивного протеина и ревматоидного фактора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клинический анализ крови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общий анализ мокроты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биохимический анализ крови с определением липидного профиля, АЛТ, АСТ, глюкозы, мочевины, креатинина, калия, натрия, маркеров некроза миокарда (тропонины I и/или Т, КФК и ее МВ-фракция); клинический анализ крови</w:t>
      </w:r>
    </w:p>
    <w:p>
      <w:pPr>
        <w:ind w:left="504"/>
      </w:pPr>
      <w:r>
        <w:rPr>
          <w:b w:val="0"/>
          <w:i/>
        </w:rPr>
        <w:t>Всем пациентам для верификации диагноза ХСН рекомендуется проведение рутинных анализов: общий (клинический) анализ крови (исследование уровня эритроцитов, тромбоцитов, лейкоцитов в крови, оценка гематокрита), исследование уровня ферритина в крови и исследование насыщения трансферрина железом исследование уровня натрия и калия в крови, исследование уровня креатинина в крови и скорости клубочковой фильтрации (расчетный показатель), исследование уровня глюкозы в крови, исследование уровня гликированного гемоглобина в крови, исследование уровня триглицеридов в крови, уровня холестерина в крови и уровня липопротеинов в крови, определение активности щелочной фосфатазы в крови, активности гамма-глютамилтрансферазы в крови, активности аспартатаминотрансферазы в крови и активности аланинаминотрансферазы в крови, общий (клинический) анализ мочи исследование уровня свободного трийодтиронина (СТ3) в крови, исследование уровня свободного тироксина (СТ4) сыворотки крови, исследование уровня тиреотропного гормона (ТТГ) в крови</w:t>
        <w:br/>
        <w:br/>
        <w:t>Клинические рекомендации Министерства здравоохранения Российской Федерации. Хроническая сердечная недостаточность. 2020 г.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Хроническая сердечная недостаточность. 2020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Всем пациентам для верификации диагноза ХСН рекомендуется проведение рутинных анализов: общий (клинический) анализ крови (исследование уровня эритроцитов, тромбоцитов, лейкоцитов в крови, оценка гематокрита), исследование уровня ферритина в крови и исследование насыщения трансферрина железом исследование уровня натрия и калия в крови, исследование уровня креатинина в крови и скорости клубочковой фильтрации (расчетный показатель), исследование уровня глюкозы в крови, исследование уровня гликированного гемоглобина в крови, исследование уровня триглицеридов в крови, уровня холестерина в крови и уровня липопротеинов в крови, определение активности щелочной фосфатазы в крови, активности гамма-глютамилтрансферазы в крови, активности аспартатаминотрансферазы в крови и активности аланинаминотрансферазы в крови, общий (клинический) анализ мочи исследование уровня свободного трийодтиронина (СТ3) в крови, исследование уровня свободного тироксина (СТ4) сыворотки крови, исследование уровня тиреотропного гормона (ТТГ) в крови</w:t>
        <w:br/>
        <w:br/>
        <w:t>Клинические рекомендации Министерства здравоохранения Российской Федерации. Хроническая сердечная недостаточность. 2020 г.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Хроническая сердечная недостаточность. 2020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лабораторных методов обследования</w:t>
      </w:r>
    </w:p>
    <w:p>
      <w:pPr>
        <w:pStyle w:val="Heading3"/>
      </w:pPr>
      <w:r>
        <w:t>3.1. Клинический анализ крови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3408"/>
          </w:tcPr>
          <w:p>
            <w:r>
              <w:rPr>
                <w:b/>
                <w:i w:val="0"/>
              </w:rPr>
              <w:t>===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Наименование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Нормы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Результат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Гемоглобин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130,0 - 160,0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165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Эритроциты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4,00 - 5,70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5,6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Лейкоциты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4,00 - 9,00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7,4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Нейтрофилы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48,00 - 78,00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62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Лимфоциты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17,0 - 48,0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31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Моноциты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2,0 - 10,0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6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Эозинофилы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0,0 - 6,0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1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Базофилы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0,0 - 1,0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Тромбоциты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150,0 - 320,0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290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СОЭ по Панченкову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2 - 20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9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===</w:t>
            </w:r>
          </w:p>
        </w:tc>
        <w:tc>
          <w:tcPr>
            <w:tcW w:type="dxa" w:w="3408"/>
          </w:tcPr>
          <w:p/>
        </w:tc>
      </w:tr>
    </w:tbl>
    <w:p/>
    <w:p>
      <w:pPr>
        <w:pStyle w:val="Heading3"/>
      </w:pPr>
      <w:r>
        <w:t>3.2. Биохимический анализ крови с определением липидного профиля, АЛТ, АСТ, глюкозы, мочевины, креатинина, калия, натрия, маркеров некроза миокарда (тропонины I и/или Т, КФК и ее МВ-фракция)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3408"/>
          </w:tcPr>
          <w:p>
            <w:r>
              <w:rPr>
                <w:b/>
                <w:i w:val="0"/>
              </w:rPr>
              <w:t>===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Показатель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Результат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Норма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Белок общий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77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63-87 г/л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Креатинин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92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44-115 мкмоль/л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Мочевина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8,1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2,5-8,3 ммоль/л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Мочевая кислота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216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120-430 мкмоль/л.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Холестерин общий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7,2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3,3-5,8 ммоль/л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ЛПНП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3,4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&lt;3 ммоль/л, &lt;1,8ммоль/л</w:t>
              <w:br/>
              <w:t>у больных ИБС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ЛПВП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0,8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&gt;1,2 ммоль/л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Глюкоза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4,5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3,5-6,2 ммоль 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Билирубин общий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14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8,49-20,58 мкмоль/л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Билирубин прямой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2,2-5,1 мкмоль/л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Триглицериды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2,3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менее 1,7 ммоль/л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АСТ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28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до 42 Ед/л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АЛТ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32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до 38 Ед/л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Калий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4,2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3,35-5,35 ммоль/л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Натрий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147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130-155 ммоль/л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Тропонин Т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0,02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до 0,03 нг/мл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КФК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134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до 180 Ед/л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МВ-КФК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14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10-25 Ед/л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===</w:t>
            </w:r>
          </w:p>
        </w:tc>
        <w:tc>
          <w:tcPr>
            <w:tcW w:type="dxa" w:w="3408"/>
          </w:tcPr>
          <w:p/>
        </w:tc>
      </w:tr>
    </w:tbl>
    <w:p/>
    <w:p>
      <w:pPr>
        <w:spacing w:after="58"/>
      </w:pPr>
      <w:r>
        <w:rPr>
          <w:b w:val="0"/>
          <w:i w:val="0"/>
        </w:rPr>
        <w:t>В динамике – без существенных отклонений от первоначальных значений</w:t>
      </w:r>
    </w:p>
    <w:p>
      <w:pPr>
        <w:pStyle w:val="Heading3"/>
      </w:pPr>
      <w:r>
        <w:t>3.3. Общий анализ мокроты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</w:tcPr>
          <w:p>
            <w:r>
              <w:rPr>
                <w:b/>
                <w:i w:val="0"/>
              </w:rPr>
              <w:t>===</w:t>
            </w:r>
          </w:p>
        </w:tc>
        <w:tc>
          <w:tcPr>
            <w:tcW w:type="dxa" w:w="5112"/>
          </w:tcPr>
          <w:p>
            <w:r>
              <w:rPr>
                <w:b/>
                <w:i w:val="0"/>
              </w:rPr>
              <w:t>Показатель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Результат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Характер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Слизистая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Цвет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Прозрачная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Эозинофилы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Отсутствуют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Спирали Куршмана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Отсутствуют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Кристаллы Шарко-Лейдена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Отсутствуют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Лейкоциты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Единичные в препарате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Атипичные клетки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Не обнаружены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Микобактерии туберкулеза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Не обнаружены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===</w:t>
            </w:r>
          </w:p>
        </w:tc>
      </w:tr>
    </w:tbl>
    <w:p/>
    <w:p>
      <w:pPr>
        <w:pStyle w:val="Heading3"/>
      </w:pPr>
      <w:r>
        <w:t>3.4. Определение ренин-альдостеронового соотношения</w:t>
      </w:r>
    </w:p>
    <w:p>
      <w:pPr>
        <w:spacing w:after="58"/>
      </w:pPr>
      <w:r>
        <w:rPr>
          <w:b w:val="0"/>
          <w:i w:val="0"/>
        </w:rPr>
        <w:t>6 пг/мкМЕ (норма &lt; 12 пг/мкМЕ)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К необходимым для постановки диагноза инструментальным методам обследования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ЭКГ в 12 отведениях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спирометрию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Эхо-КГ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ЭГДС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УЗИ органов брюшной полости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ЭКГ в 12 отведениях; Эхо-КГ</w:t>
      </w:r>
    </w:p>
    <w:p>
      <w:pPr>
        <w:ind w:left="504"/>
      </w:pPr>
      <w:r>
        <w:rPr>
          <w:b w:val="0"/>
          <w:i/>
        </w:rPr>
        <w:t>Базовое обследование всех пациентов с подозрением на ИБС включает регистрацию ЭКГ.</w:t>
        <w:br/>
        <w:br/>
        <w:t>Клинические рекомендации Министерства здравоохранения Российской Федерации. Хроническая сердечная недостаточность. 2020 г.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Хроническая сердечная недостаточность. 2020 г.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Базовое обследование всех пациентов с подозрением на ИБС включает ЭхоКГ в покое.</w:t>
        <w:br/>
        <w:br/>
        <w:t>Клинические рекомендации Министерства здравоохранения Российской Федерации. Хроническая сердечная недостаточность. 2020 г.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Хроническая сердечная недостаточность. 2020 г.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Результаты инструментальных методов обследования</w:t>
      </w:r>
    </w:p>
    <w:p>
      <w:pPr>
        <w:pStyle w:val="Heading3"/>
      </w:pPr>
      <w:r>
        <w:t>5.1. ЭКГ в 12 отведениях</w:t>
      </w:r>
    </w:p>
    <w:p>
      <w:r>
        <w:drawing>
          <wp:inline xmlns:a="http://schemas.openxmlformats.org/drawingml/2006/main" xmlns:pic="http://schemas.openxmlformats.org/drawingml/2006/picture">
            <wp:extent cx="5303520" cy="2830348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3a49b7d163f69b20e582a0e61483a2d17bd80eb0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283034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электрокардиограмма 12.jpg</w:t>
      </w:r>
    </w:p>
    <w:p>
      <w:pPr>
        <w:pStyle w:val="Heading3"/>
      </w:pPr>
      <w:r>
        <w:t>5.2. Эхо-КГ</w:t>
      </w:r>
    </w:p>
    <w:p>
      <w:pPr>
        <w:spacing w:after="58"/>
      </w:pPr>
      <w:r>
        <w:rPr>
          <w:b w:val="0"/>
          <w:i w:val="0"/>
        </w:rPr>
        <w:t>Аорта не расширена. Створки аортального клапана и стенки аорты уплотнены, расхождение створок полное. Толщина задней стенки и межжелудочковой перегородки 12 мм. ФВ ЛЖ на фоне тахиформы фибрилляции предсердий 43%. Определяется незначительная надклапанная митральная и трикуспидальная регургитация 1 ст.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Диагноз, который можно поставить больному на основании результатов клинико-лабораторных и инструментальных методов обследования, -это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Гипертрофическая обструктивная кардиомиопатия. Субартальный стеноз. Нарушения ритма сердца: Частая желудочковая экстрасистолия.  Осложнение: ХСН со сниженной ФВ ЛЖ, I стадии по Н.Д. Стражеско-В.Х. Василенко, II ФК NYHA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Гипертоническая болезнь III стадии, артериальная гипертензия 3 степени очень высокий риск сердечно-сосудистых осложнений. Полная блокада правой ножки пучка Гиса. Трепетание предсердий с проведением 3:1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ИБС: стабильная стенокардия III ФК. Фибрилляция предсердий, тахисистолическая форма. Риск тромбоэмболических осложнений по шкале CHA2DS2-VASc 5 баллов (возраст старше 75 лет, АГ, сосудистое заболевание (ИБС), ХСН). Гипертоническая болезнь III стадии, артериальная гипертензия 3 степени, очень высокий риск сердечно-сосудистых осложнений. Атеросклероз аорты, сосудов сердца.</w:t>
        <w:br/>
        <w:t>Осложнение: ХСН с промежуточной ФВ ЛЖ 43%, IIA стадии по Н.Д. Стражеско-В.Х. Василенко, III ФК по NYHA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Хронический гастродуоденит, обострение. Аксиальная грыжа пищеводного отверстия диафрагмы. Гастроэзофагеальная рефлюксная болезнь, обострение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ИБС: стабильная стенокардия III ФК. Фибрилляция предсердий, тахисистолическая форма. Риск тромбоэмболических осложнений по шкале CHA2DS2-VASc 5 баллов (возраст старше 75 лет, АГ, сосудистое заболевание (ИБС), ХСН). Гипертоническая болезнь III стадии, артериальная гипертензия 3 степени, очень высокий риск сердечно-сосудистых осложнений. Атеросклероз аорты, сосудов сердца.</w:t>
        <w:br/>
        <w:t>Осложнение: ХСН с промежуточной ФВ ЛЖ 43%, IIA стадии по Н.Д. Стражеско-В.Х. Василенко, III ФК по NYHA</w:t>
      </w:r>
    </w:p>
    <w:p>
      <w:pPr>
        <w:ind w:left="504"/>
      </w:pPr>
      <w:r>
        <w:rPr>
          <w:b w:val="0"/>
          <w:i/>
        </w:rPr>
        <w:t>Болевой синдром в грудной клетке (характер боли, продолжительность, провоцирующие факторы) соответствует критериям стенокардии. Уровень переносимых физических нагрузок (менее 1 этажа и менее 200 м по ровной местности)  и  не менялся в течение последнего года, что соответствует стенокардии III ФК.</w:t>
        <w:br/>
        <w:t>Нарушения общей сократимости миокарда, выявляемы при ЭхоКГ, в виде снижения ФВ ЛЖ до 43% (промежуточные значения).</w:t>
        <w:br/>
        <w:t>Атеросклероз коронарных артерий: стеноз ствола ЛКА более 50% или одной или нескольких крупных коронарных артерий более 70% (наряду с вазоспазмом и микрососудистой дисфункцией) является типичным морфологическим субстратом для развития ИБС и, у пациента с ФР (мужской пол, возраст старше 55 л., артериальная гипертензия).</w:t>
        <w:br/>
        <w:br/>
        <w:t>Клинические рекомендации Министерства здравоохранения Российской Федерации. Артериальная гипертензия у взрослых. 2020 г.</w:t>
        <w:br/>
        <w:br/>
      </w:r>
      <w:hyperlink r:id="rId14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Артериальная гипертензия у взрослых. 2020 г.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Клинические рекомендации Российского кардиологического общества. Стабильная ишемическая болезнь сердца. 2020 г.</w:t>
        <w:br/>
        <w:br/>
      </w:r>
      <w:hyperlink r:id="rId16">
        <w:r>
          <w:rPr>
            <w:color w:val="0F766E"/>
            <w:u w:val="single"/>
          </w:rPr>
          <w:t>Клинические рекомендации Российского кардиологического общества. Стабильная ишемическая болезнь сердца. 2020 г.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Клинические рекомендации Министерства здравоохранения Российской Федерации. Хроническая сердечная недостаточность. 2020 г.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Хроническая сердечная недостаточность. 2020 г.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7. Диагноз</w:t>
      </w:r>
    </w:p>
    <w:p>
      <w:pPr>
        <w:spacing w:after="58"/>
      </w:pPr>
      <w:r>
        <w:rPr>
          <w:b w:val="0"/>
          <w:i w:val="0"/>
        </w:rPr>
        <w:t>ИБС: стабильная стенокардия III ФК. Фибрилляция предсердий, тахисистолическая форма. +</w:t>
        <w:br/>
        <w:t>Фон: Атеросклероз аорты, сосудов сердца. +</w:t>
        <w:br/>
        <w:t>Осложнение: ХСН с промежуточной ФВ ЛЖ 43%,  IIA ст., III ФК NYHA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К изменениям на ЭКГ, выявленным у данного больного, относятся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трепетание предсердий; признаки гипертрофии правого предсердия и правого желудочка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синусовая дыхательная аритмия; полная блокада правой ножки пучка Гиса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фибрилляция предсердий; неполная блокада правой ножки пучка Гиса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атриовентрикулярная блокада II ст. с периодикой Самойлова-Венкебаха; наджелудочковая экстрасистолия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фибрилляция предсердий; неполная блокада правой ножки пучка Гиса</w:t>
      </w:r>
    </w:p>
    <w:p>
      <w:pPr>
        <w:ind w:left="504"/>
      </w:pPr>
      <w:r>
        <w:rPr>
          <w:b w:val="0"/>
          <w:i/>
        </w:rPr>
        <w:t>Для ФП характерны:</w:t>
        <w:br/>
        <w:br/>
        <w:t>Абсолютно нерегулярные интервалы RR (не регистрируется в случаях сочетания ФП и АВ-блокады III степени (синдром Фредерика).</w:t>
        <w:br/>
        <w:br/>
        <w:t>Отсутствие отчетливых зубцов Р на ЭКГ. В отдельных отведениях — чаще всего в отведении V1 — иногда определяется некоторая регулярная электрическая активность предсердий.</w:t>
        <w:br/>
        <w:br/>
        <w:t>Длительность предсердного цикла (если определяется), т.е. интервала между двумя последовательными возбуждениями предсердий (F-волн), обычно изменчива и составляет менее 200 мс, что соответствует частоте предсердного ритма более 300 импульсов в минуту.</w:t>
        <w:br/>
        <w:br/>
        <w:t>Клинические рекомендации Министерства здравоохранения Российской Федерации. Фибрилляция и трепетание предсердий. 2020 г.</w:t>
        <w:br/>
        <w:br/>
      </w:r>
      <w:hyperlink r:id="rId1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Фибрилляция и трепетание предсердий. 2020 г.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ЭОС горизонтальная, что может быть признаком ГЛЖ. Комплексы QRS не расширены, в V1-V3 типа rSr’ – признаки неполной блокады правой ножки пучка Гиса.</w:t>
        <w:br/>
        <w:br/>
        <w:t>Для блокады правой ножки также характерно уширение комплекса QRS (до 0,12-0,13 с), но в меньшей степени, чем для БЛН. Время желудочковой активации в правых грудных отведениях составляет 0,07-0,12 с. Основные изменения желудочкового комплекса происходят в правых грудных отведениях: расщепленный и зазубренный комплекс QRS вида rsR, rsr, rSR и широкий глубокий зубец S в левых грудных отведениях. Ось сердца может быть отклонена вправо, но возможна и левограмма. Изменения ST-T в виде косонисходящего снижения сегмента ST и отрицательного зубца Т обнаруживаются в правых грудных и в отведениях III, avF.</w:t>
        <w:br/>
        <w:br/>
        <w:t>Функциональная диагностика : национальное руководство / под ред. Н. Ф. Берестень, В. А. Сандрикова, С. И. Федоровой - Москва : ГЭОТАР-Медиа, 2019. - 784 с. (Серия "Национальные руководства") - ISBN 978-5-9704-4242-5</w:t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Препаратом выбора для купирования приступов стенокардии у больного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метопрололасукцинат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ипратропия бромид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гидрохлортиазид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нитроглицерин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нитроглицерин</w:t>
      </w:r>
    </w:p>
    <w:p>
      <w:pPr>
        <w:ind w:left="504"/>
      </w:pPr>
      <w:r>
        <w:rPr>
          <w:b w:val="0"/>
          <w:i/>
        </w:rPr>
        <w:t>Для устранения непосредственно приступа стабильной стенокардии (обезболивания) рекомендуется назначить органические нитраты короткого действия (нитроглицерин)</w:t>
        <w:br/>
        <w:br/>
        <w:t>Клинические рекомендации Российского кардиологического общества. Стабильная ишемическая болезнь сердца. 2020 г.</w:t>
        <w:br/>
        <w:br/>
      </w:r>
      <w:hyperlink r:id="rId16">
        <w:r>
          <w:rPr>
            <w:color w:val="0F766E"/>
            <w:u w:val="single"/>
          </w:rPr>
          <w:t>Клинические рекомендации Российского кардиологического общества. Стабильная ишемическая болезнь сердца. 2020 г.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Для профилактики тромбоэмолических  осложнений данному больному показано назначение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оральных антикоагулянтов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тканевого активатора плазминогена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двойной антитромбоцитарной терапии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блокаторов IIb-IIIa-рецепторов тромбоцитов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оральных антикоагулянтов</w:t>
      </w:r>
    </w:p>
    <w:p>
      <w:pPr>
        <w:ind w:left="504"/>
      </w:pPr>
      <w:r>
        <w:rPr>
          <w:b w:val="0"/>
          <w:i/>
        </w:rPr>
        <w:t>У больного риск тромбоэмболических осложнений по шкале CHA2DS2-VASc 5 баллов (возраст старше 75 лет, АГ, сосудистое заболевание (ИБС), ХСН).</w:t>
        <w:br/>
        <w:br/>
        <w:t>Постоянный прием пероральных антикоагулянтов с целью профилактики ТЭО рекомендован пациентам мужского пола с суммой баллов по шкале CHA2DS2-VASc ≥2 и пациентам женского пола с суммой баллов по шкале CHA2DS2-VASc ≥3.</w:t>
        <w:br/>
        <w:br/>
        <w:t>Клинические рекомендации Министерства здравоохранения Российской Федерации. Фибрилляция и трепетание предсердий. 2020 г.</w:t>
        <w:br/>
        <w:br/>
      </w:r>
      <w:hyperlink r:id="rId1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Фибрилляция и трепетание предсердий. 2020 г.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К препаратам выбора для коррекции дислипидемии у больного ИБС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препараты полиненасыщенных жирных кислот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фибраты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холестирамин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статины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статины</w:t>
      </w:r>
    </w:p>
    <w:p>
      <w:pPr>
        <w:ind w:left="504"/>
      </w:pPr>
      <w:r>
        <w:rPr>
          <w:b w:val="0"/>
          <w:i/>
        </w:rPr>
        <w:t>Для профилактики ССО всем пациентам со стабильной ИБС рекомендуется назначить ингибиторы ГМГ-КоА-редуктазы (статины) в максимально переносимой дозировке до достижения целевого уровня ХсЛНП (&lt;1,4 ммоль/л) и его снижения на 50% от исходного уровня</w:t>
        <w:br/>
        <w:br/>
        <w:t>Клинические рекомендации Российского кардиологического общества. Стабильная ишемическая болезнь сердца. 2020 г.</w:t>
        <w:br/>
        <w:br/>
      </w:r>
      <w:hyperlink r:id="rId16">
        <w:r>
          <w:rPr>
            <w:color w:val="0F766E"/>
            <w:u w:val="single"/>
          </w:rPr>
          <w:t>Клинические рекомендации Российского кардиологического общества. Стабильная ишемическая болезнь сердца. 2020 г.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Целевые значения уровня ХС ЛПНП при терапии статинами должны составлять менее _____ ммоль/л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1,2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1,8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3,5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1,4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1,4</w:t>
      </w:r>
    </w:p>
    <w:p>
      <w:pPr>
        <w:ind w:left="504"/>
      </w:pPr>
      <w:r>
        <w:rPr>
          <w:b w:val="0"/>
          <w:i/>
        </w:rPr>
        <w:t>Для профилактики ССО всем пациентам со стабильной ИБС рекомендуется назначить ингибиторы ГМГ-КоА-редуктазы (статины) в максимально переносимой дозировке до достижения целевого уровня ХсЛНП (&lt;1,4 ммоль/л) и его снижения на 50% от исходного уровня</w:t>
        <w:br/>
        <w:br/>
        <w:t>Клинические рекомендации Российского кардиологического общества. Стабильная ишемическая болезнь сердца. 2020 г.</w:t>
        <w:br/>
        <w:br/>
      </w:r>
      <w:hyperlink r:id="rId16">
        <w:r>
          <w:rPr>
            <w:color w:val="0F766E"/>
            <w:u w:val="single"/>
          </w:rPr>
          <w:t>Клинические рекомендации Российского кардиологического общества. Стабильная ишемическая болезнь сердца. 2020 г.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Частым и ожидаемым у данного больного побочным эффектом нитратов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головная боль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сухой кашель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симптомная брадикардия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артериальная гипертензия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головная боль</w:t>
      </w:r>
    </w:p>
    <w:p>
      <w:pPr>
        <w:ind w:left="504"/>
      </w:pPr>
      <w:r>
        <w:rPr>
          <w:b w:val="0"/>
          <w:i/>
        </w:rPr>
        <w:t>Следствием венозной дилатации является побочный эффект - резкая головная боль, особенно часто возникающая при первом приеме нитроглицерина.</w:t>
        <w:br/>
        <w:br/>
        <w:t>Общая врачебная практика. Т. 1 : национальное руководство / под ред. О. Ю. Кузнецовой, О. М. Лесняк, Е. В. Фроловой. - 2-е изд. , перераб. и доп. - Москва : ГЭОТАР-Медиа, 2020. - 1024 с. - ISBN 978-5-9704-5520-3</w:t>
        <w:br/>
        <w:br/>
      </w:r>
      <w:hyperlink r:id="rId25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|===</w:t>
        <w:br/>
        <w:br/>
        <w:t xml:space="preserve">^|Препарат </w:t>
        <w:tab/>
        <w:t>|Основные побочные эффекты</w:t>
        <w:br/>
        <w:t>|Нитроглицерин</w:t>
        <w:tab/>
        <w:t>|Артериальная гипотония, головная боль</w:t>
        <w:br/>
        <w:t>|Изосорбида динитрат</w:t>
        <w:tab/>
        <w:t>|Артериальная гипотония, головная боль</w:t>
        <w:br/>
        <w:t>|===</w:t>
        <w:br/>
        <w:br/>
        <w:t>Клинические рекомендации Министерства здравоохранения Российской Федерации. Хроническая сердечная недостаточность. 2020 г.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Хроническая сердечная недостаточность. 2020 г.</w:t>
        </w:r>
      </w:hyperlink>
      <w:r>
        <w:rPr>
          <w:b w:val="0"/>
          <w:i/>
        </w:rPr>
        <w:br/>
        <w:br/>
      </w:r>
      <w:hyperlink r:id="rId2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модифицируемым фактором риска ИБС у данного больного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внутривенное употребление наркотических препаратов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мужской пол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артериальная гипертензия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пожилой возраст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артериальная гипертензия</w:t>
      </w:r>
    </w:p>
    <w:p>
      <w:pPr>
        <w:ind w:left="504"/>
      </w:pPr>
      <w:r>
        <w:rPr>
          <w:b w:val="0"/>
          <w:i/>
        </w:rPr>
        <w:t>Главные модифицируемые факторы риска ИБС:</w:t>
        <w:br/>
        <w:br/>
        <w:t>дислипопротеидемия;</w:t>
        <w:br/>
        <w:br/>
        <w:t>артериальная гипертония;</w:t>
        <w:br/>
        <w:br/>
        <w:t>сахарный диабет;</w:t>
        <w:br/>
        <w:br/>
        <w:t>курение;</w:t>
        <w:br/>
        <w:br/>
        <w:t>низкая физическая активность;</w:t>
        <w:br/>
        <w:br/>
        <w:t>ожирение;</w:t>
        <w:br/>
        <w:br/>
        <w:t>стресс, тревога.</w:t>
        <w:br/>
        <w:br/>
        <w:t>Немодифицируемые факторы риска ИБС:</w:t>
        <w:br/>
        <w:br/>
        <w:t>мужской пол;</w:t>
        <w:br/>
        <w:br/>
        <w:t>возраст;</w:t>
        <w:br/>
        <w:br/>
        <w:t>отягощенный семейный анамнез по сердечно-сосудистым заболеваниям (подтвержденный диагноз инфаркта миокарда или ишемического инсульта у родственников первой линии, у женщин — до 65 лет, у мужчин — до 55 лет).</w:t>
        <w:br/>
        <w:br/>
        <w:t>Клинические рекомендации Российского кардиологического общества. Стабильная ишемическая болезнь сердца. 2020 г.</w:t>
        <w:br/>
        <w:br/>
      </w:r>
      <w:hyperlink r:id="rId16">
        <w:r>
          <w:rPr>
            <w:color w:val="0F766E"/>
            <w:u w:val="single"/>
          </w:rPr>
          <w:t>Клинические рекомендации Российского кардиологического общества. Стабильная ишемическая болезнь сердца. 2020 г.</w:t>
        </w:r>
      </w:hyperlink>
      <w:r>
        <w:rPr>
          <w:b w:val="0"/>
          <w:i/>
        </w:rPr>
        <w:br/>
        <w:br/>
      </w:r>
      <w:hyperlink r:id="rId27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Инвазивным методом, который целесообразно использовать для визуализации коронарного русла у данного больного, выступает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КТ-ангиография коронарных артерий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мультидетекторная КТ с определением коронарного кальция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МРТ-ангиография коронарных артерий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коронароангиография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коронароангиография</w:t>
      </w:r>
    </w:p>
    <w:p>
      <w:pPr>
        <w:ind w:left="504"/>
      </w:pPr>
      <w:r>
        <w:rPr>
          <w:b w:val="0"/>
          <w:i/>
        </w:rPr>
        <w:t>Коронарная ангиография (КАГ, коронарография) — это инвазивное диагностическое исследование, выполняемое в условиях рентгенооперационной путем введения контрастного вещества в устья коронарных артерий под рентгенологическим контролем. Традиционно используется в диагностике ИБС и при стратификации риска осложнений, для выявления стенозов в коронарных артериях, их локализации, протяженности и выраженности, а также, в ряде случаев, — для обнаружения участков нестабильности атеросклеротических бляшек</w:t>
        <w:br/>
        <w:br/>
        <w:t>Клинические рекомендации Российского кардиологического общества. Стабильная ишемическая болезнь сердца. 2020 г.</w:t>
        <w:br/>
        <w:br/>
      </w:r>
      <w:hyperlink r:id="rId16">
        <w:r>
          <w:rPr>
            <w:color w:val="0F766E"/>
            <w:u w:val="single"/>
          </w:rPr>
          <w:t>Клинические рекомендации Российского кардиологического общества. Стабильная ишемическая болезнь сердца. 2020 г.</w:t>
        </w:r>
      </w:hyperlink>
      <w:r>
        <w:rPr>
          <w:b w:val="0"/>
          <w:i/>
        </w:rPr>
        <w:br/>
        <w:br/>
      </w:r>
      <w:hyperlink r:id="rId2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Для оценки риска кардиоэмболических  инсультов у данного больного с неклапанной фибрилляцией предсердий следует использовать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шкалу Turkott-Child-Pugh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шкалу CHA2DS2-VASc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Фрамингемскую шкалу риска (АТР-III)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шкалу HEMORR2HAGES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шкалу CHA2DS2-VASc</w:t>
      </w:r>
    </w:p>
    <w:p>
      <w:pPr>
        <w:ind w:left="504"/>
      </w:pPr>
      <w:r>
        <w:rPr>
          <w:b w:val="0"/>
          <w:i/>
        </w:rPr>
        <w:t>Всем пациентам с фибрилляцией предсердий, не связанной с поражением клапанов сердца, рекомендовано использовать шкалу CHA2DS2-VASc для оценки риска тромбоэмболических осложнений (ишемического инсульта, транзиторных ишемических атак и системных тромбоэмболий)</w:t>
        <w:br/>
        <w:br/>
        <w:t>Клинические рекомендации Министерства здравоохранения Российской Федерации. Фибрилляция и трепетание предсердий. 2020 г.</w:t>
        <w:br/>
        <w:br/>
      </w:r>
      <w:hyperlink r:id="rId1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Фибрилляция и трепетание предсердий. 2020 г.</w:t>
        </w:r>
      </w:hyperlink>
      <w:r>
        <w:rPr>
          <w:b w:val="0"/>
          <w:i/>
        </w:rPr>
        <w:br/>
        <w:br/>
      </w:r>
      <w:hyperlink r:id="rId29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134_2020" TargetMode="External"/><Relationship Id="rId10" Type="http://schemas.openxmlformats.org/officeDocument/2006/relationships/hyperlink" Target="https://library.mededtech.ru/rest/documents/134_2020/#list_item_261r3v" TargetMode="External"/><Relationship Id="rId11" Type="http://schemas.openxmlformats.org/officeDocument/2006/relationships/hyperlink" Target="https://library.mededtech.ru/rest/documents/134_2020/#list_item_27q4kk" TargetMode="External"/><Relationship Id="rId12" Type="http://schemas.openxmlformats.org/officeDocument/2006/relationships/hyperlink" Target="https://library.mededtech.ru/rest/documents/134_2020/#list_item_k51qq5" TargetMode="External"/><Relationship Id="rId13" Type="http://schemas.openxmlformats.org/officeDocument/2006/relationships/image" Target="media/image1.jpg"/><Relationship Id="rId14" Type="http://schemas.openxmlformats.org/officeDocument/2006/relationships/hyperlink" Target="https://library.mededtech.ru/rest/documents/KP62" TargetMode="External"/><Relationship Id="rId15" Type="http://schemas.openxmlformats.org/officeDocument/2006/relationships/hyperlink" Target="https://library.mededtech.ru/rest/documents/KP62/#paragraph_4eca52" TargetMode="External"/><Relationship Id="rId16" Type="http://schemas.openxmlformats.org/officeDocument/2006/relationships/hyperlink" Target="https://library.mededtech.ru/rest/documents/133_2020" TargetMode="External"/><Relationship Id="rId17" Type="http://schemas.openxmlformats.org/officeDocument/2006/relationships/hyperlink" Target="https://library.mededtech.ru/rest/documents/133_2020/#tablePA3-1" TargetMode="External"/><Relationship Id="rId18" Type="http://schemas.openxmlformats.org/officeDocument/2006/relationships/hyperlink" Target="https://library.mededtech.ru/rest/documents/134_2020/#paragraph_n3f5gr" TargetMode="External"/><Relationship Id="rId19" Type="http://schemas.openxmlformats.org/officeDocument/2006/relationships/hyperlink" Target="https://library.mededtech.ru/rest/documents/888_20" TargetMode="External"/><Relationship Id="rId20" Type="http://schemas.openxmlformats.org/officeDocument/2006/relationships/hyperlink" Target="https://library.mededtech.ru/rest/documents/888_20/#paragraph_69dt3u" TargetMode="External"/><Relationship Id="rId21" Type="http://schemas.openxmlformats.org/officeDocument/2006/relationships/hyperlink" Target="https://library.mededtech.ru/rest/documents/ISBN9785970442425/?anchor=paragraph_rrsiag#paragraph_rrsiag" TargetMode="External"/><Relationship Id="rId22" Type="http://schemas.openxmlformats.org/officeDocument/2006/relationships/hyperlink" Target="https://library.mededtech.ru/rest/documents/133_2020/#list_item_8860iv" TargetMode="External"/><Relationship Id="rId23" Type="http://schemas.openxmlformats.org/officeDocument/2006/relationships/hyperlink" Target="https://library.mededtech.ru/rest/documents/888_20/#list_item_rgc626" TargetMode="External"/><Relationship Id="rId24" Type="http://schemas.openxmlformats.org/officeDocument/2006/relationships/hyperlink" Target="https://library.mededtech.ru/rest/documents/133_2020/#list_item_497cuj" TargetMode="External"/><Relationship Id="rId25" Type="http://schemas.openxmlformats.org/officeDocument/2006/relationships/hyperlink" Target="https://library.mededtech.ru/rest/documents/ISBN9785970455203/?anchor=list_item_2718f1#list_item_2718f1" TargetMode="External"/><Relationship Id="rId26" Type="http://schemas.openxmlformats.org/officeDocument/2006/relationships/hyperlink" Target="https://library.mededtech.ru/rest/documents/134_2020/#tab13" TargetMode="External"/><Relationship Id="rId27" Type="http://schemas.openxmlformats.org/officeDocument/2006/relationships/hyperlink" Target="https://library.mededtech.ru/rest/documents/133_2020/#paragraph_c6h3np" TargetMode="External"/><Relationship Id="rId28" Type="http://schemas.openxmlformats.org/officeDocument/2006/relationships/hyperlink" Target="https://library.mededtech.ru/rest/documents/133_2020/#paragraph_a56a85" TargetMode="External"/><Relationship Id="rId29" Type="http://schemas.openxmlformats.org/officeDocument/2006/relationships/hyperlink" Target="https://library.mededtech.ru/rest/documents/888_20/#list_item_sl6k6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